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28.201 Correction on the message flow description of subscription using MnS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28.201 Correction on the message flow description of subscription using MnS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28.532 Correct notifyMOIChanges YANG mapping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11.1.1.11.2, 12.1.3.2.5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28.532 Correct notifyMOIChanges YANG mapping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S5-253349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11.1.1.11.2, 12.1.3.2.5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28.541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correction to NR NRM stage 2 stage 3 inconsistence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 Corporation Ltd., CATT,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4.3.76.2 (stage 3 normative change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 28.541 correction to NR NRM stage 2 stage 3 inconsistence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 Corporation Ltd., CATT,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4.3.76.2 (stage 3 normative change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28.558 add drop rate measurement for split and non-split architecture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6.3.1.x(new), 6.3.1.x.y1(new), 6.3.1.x.y1.1(new), 6.3.1.x.y2(new), 6.3.1.x.y2.1(new), 6.3.1.y(new), 6.3.1.y.1(new)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TS28.558 Add DL PDCP SDU Drop rate in gNB-CU-UP for UE level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6.3.1.x(new), 6.3.1.x.y1(new), 6.3.1.x.y1.1(new), 6.3.1.x.y2(new), 6.3.1.x.y2.1(new), 6.3.1.y(new), 6.3.1.y.1(new)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28.623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32.158 Clarify 3GPP JSON Patch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REST_SS, 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32.298 Correction of recipientOtherAddresses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5.2.4.6 and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